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CCD4B8D" w:rsidR="00B15EC6" w:rsidRPr="0008674F"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w:t>
      </w:r>
      <w:r w:rsidRPr="0008674F">
        <w:rPr>
          <w:rFonts w:ascii="Arial" w:hAnsi="Arial" w:cs="Arial"/>
          <w:b/>
          <w:bCs/>
          <w:lang w:val="en-US" w:eastAsia="en-US"/>
        </w:rPr>
        <w:t>ng #</w:t>
      </w:r>
      <w:r w:rsidR="006A77F4" w:rsidRPr="0008674F">
        <w:rPr>
          <w:rFonts w:ascii="Arial" w:hAnsi="Arial" w:cs="Arial"/>
          <w:b/>
          <w:bCs/>
          <w:lang w:val="en-US" w:eastAsia="en-US"/>
        </w:rPr>
        <w:t>12</w:t>
      </w:r>
      <w:r w:rsidR="00FE0051" w:rsidRPr="0008674F">
        <w:rPr>
          <w:rFonts w:ascii="Arial" w:eastAsia="Malgun Gothic" w:hAnsi="Arial" w:cs="Arial" w:hint="eastAsia"/>
          <w:b/>
          <w:bCs/>
          <w:lang w:val="en-US" w:eastAsia="ko-KR"/>
        </w:rPr>
        <w:t>9</w:t>
      </w:r>
      <w:r w:rsidRPr="0008674F">
        <w:rPr>
          <w:rFonts w:ascii="Arial" w:hAnsi="Arial" w:cs="Arial"/>
          <w:b/>
          <w:bCs/>
          <w:lang w:val="en-US" w:eastAsia="en-US"/>
        </w:rPr>
        <w:tab/>
      </w:r>
      <w:r w:rsidRPr="0008674F">
        <w:rPr>
          <w:rFonts w:ascii="Arial" w:hAnsi="Arial" w:cs="Arial"/>
          <w:b/>
          <w:bCs/>
          <w:lang w:val="en-US" w:eastAsia="en-US"/>
        </w:rPr>
        <w:tab/>
      </w:r>
      <w:r w:rsidRPr="0008674F">
        <w:rPr>
          <w:rFonts w:ascii="Arial" w:hAnsi="Arial" w:cs="Arial"/>
          <w:b/>
          <w:bCs/>
          <w:lang w:val="en-US" w:eastAsia="en-US"/>
        </w:rPr>
        <w:tab/>
      </w:r>
      <w:r w:rsidRPr="0008674F">
        <w:rPr>
          <w:rFonts w:ascii="Arial" w:hAnsi="Arial" w:cs="Arial"/>
          <w:b/>
          <w:bCs/>
          <w:lang w:val="en-US" w:eastAsia="en-US"/>
        </w:rPr>
        <w:tab/>
      </w:r>
      <w:r w:rsidRPr="0008674F">
        <w:rPr>
          <w:rFonts w:ascii="Arial" w:hAnsi="Arial" w:cs="Arial"/>
          <w:b/>
          <w:bCs/>
          <w:lang w:val="en-US" w:eastAsia="en-US"/>
        </w:rPr>
        <w:tab/>
      </w:r>
      <w:r w:rsidRPr="0008674F">
        <w:rPr>
          <w:rFonts w:ascii="Arial" w:hAnsi="Arial" w:cs="Arial"/>
          <w:b/>
          <w:bCs/>
          <w:lang w:val="en-US" w:eastAsia="en-US"/>
        </w:rPr>
        <w:tab/>
      </w:r>
      <w:r w:rsidRPr="0008674F">
        <w:rPr>
          <w:rFonts w:ascii="Arial" w:hAnsi="Arial" w:cs="Arial"/>
          <w:b/>
          <w:bCs/>
          <w:lang w:val="en-US" w:eastAsia="en-US"/>
        </w:rPr>
        <w:tab/>
      </w:r>
      <w:r w:rsidRPr="0008674F">
        <w:rPr>
          <w:rFonts w:ascii="Arial" w:hAnsi="Arial" w:cs="Arial"/>
          <w:b/>
          <w:bCs/>
          <w:lang w:val="en-US" w:eastAsia="en-US"/>
        </w:rPr>
        <w:tab/>
      </w:r>
      <w:r w:rsidRPr="0008674F">
        <w:rPr>
          <w:rFonts w:ascii="Arial" w:hAnsi="Arial" w:cs="Arial"/>
          <w:b/>
          <w:bCs/>
          <w:lang w:val="en-US" w:eastAsia="en-US"/>
        </w:rPr>
        <w:tab/>
      </w:r>
      <w:r w:rsidR="005963E4" w:rsidRPr="0008674F">
        <w:rPr>
          <w:rFonts w:ascii="Arial" w:hAnsi="Arial" w:cs="Arial"/>
          <w:b/>
          <w:bCs/>
          <w:lang w:val="en-US" w:eastAsia="en-US"/>
        </w:rPr>
        <w:tab/>
      </w:r>
      <w:r w:rsidR="005963E4" w:rsidRPr="0008674F">
        <w:rPr>
          <w:rFonts w:ascii="Arial" w:hAnsi="Arial" w:cs="Arial"/>
          <w:b/>
          <w:bCs/>
          <w:lang w:val="en-US" w:eastAsia="en-US"/>
        </w:rPr>
        <w:tab/>
      </w:r>
      <w:r w:rsidR="002972CE" w:rsidRPr="0008674F">
        <w:rPr>
          <w:rFonts w:ascii="Arial" w:eastAsia="Malgun Gothic" w:hAnsi="Arial" w:cs="Arial"/>
          <w:b/>
          <w:bCs/>
          <w:lang w:val="en-US" w:eastAsia="ko-KR"/>
        </w:rPr>
        <w:tab/>
      </w:r>
      <w:r w:rsidR="00110BB2" w:rsidRPr="0008674F">
        <w:rPr>
          <w:rFonts w:ascii="Arial" w:hAnsi="Arial" w:cs="Arial"/>
          <w:b/>
          <w:bCs/>
          <w:lang w:val="en-US" w:eastAsia="en-US"/>
        </w:rPr>
        <w:t>R2-</w:t>
      </w:r>
      <w:r w:rsidR="0042107C" w:rsidRPr="0008674F">
        <w:rPr>
          <w:rFonts w:ascii="Arial" w:hAnsi="Arial" w:cs="Arial"/>
          <w:b/>
          <w:bCs/>
          <w:lang w:val="en-US" w:eastAsia="en-US"/>
        </w:rPr>
        <w:t>2</w:t>
      </w:r>
      <w:r w:rsidR="000826F0" w:rsidRPr="0008674F">
        <w:rPr>
          <w:rFonts w:ascii="Arial" w:eastAsia="Malgun Gothic" w:hAnsi="Arial" w:cs="Arial" w:hint="eastAsia"/>
          <w:b/>
          <w:bCs/>
          <w:lang w:val="en-US" w:eastAsia="ko-KR"/>
        </w:rPr>
        <w:t>5</w:t>
      </w:r>
      <w:r w:rsidR="0008674F" w:rsidRPr="0008674F">
        <w:rPr>
          <w:rFonts w:ascii="Arial" w:eastAsia="Malgun Gothic" w:hAnsi="Arial" w:cs="Arial" w:hint="eastAsia"/>
          <w:b/>
          <w:bCs/>
          <w:lang w:val="en-US" w:eastAsia="ko-KR"/>
        </w:rPr>
        <w:t>00377</w:t>
      </w:r>
    </w:p>
    <w:bookmarkEnd w:id="0"/>
    <w:p w14:paraId="6BB14B0B" w14:textId="3354FA5D" w:rsidR="005963E4" w:rsidRDefault="00FE0051" w:rsidP="0041311A">
      <w:pPr>
        <w:tabs>
          <w:tab w:val="left" w:pos="1979"/>
        </w:tabs>
        <w:spacing w:after="180" w:line="240" w:lineRule="auto"/>
        <w:ind w:left="1979" w:hanging="1979"/>
        <w:jc w:val="left"/>
        <w:rPr>
          <w:rFonts w:ascii="Arial" w:hAnsi="Arial" w:cs="Arial"/>
          <w:b/>
          <w:bCs/>
          <w:lang w:val="en-US"/>
        </w:rPr>
      </w:pPr>
      <w:r w:rsidRPr="00FE0051">
        <w:rPr>
          <w:rFonts w:ascii="Arial" w:eastAsia="Malgun Gothic" w:hAnsi="Arial" w:cs="Arial"/>
          <w:b/>
          <w:bCs/>
          <w:lang w:val="en-US" w:eastAsia="ko-KR"/>
        </w:rPr>
        <w:t>Athens, Greece, Feb</w:t>
      </w:r>
      <w:r>
        <w:rPr>
          <w:rFonts w:ascii="Arial" w:eastAsia="Malgun Gothic" w:hAnsi="Arial" w:cs="Arial" w:hint="eastAsia"/>
          <w:b/>
          <w:bCs/>
          <w:lang w:val="en-US" w:eastAsia="ko-KR"/>
        </w:rPr>
        <w:t>ruary</w:t>
      </w:r>
      <w:r w:rsidRPr="00FE0051">
        <w:rPr>
          <w:rFonts w:ascii="Arial" w:eastAsia="Malgun Gothic" w:hAnsi="Arial" w:cs="Arial"/>
          <w:b/>
          <w:bCs/>
          <w:lang w:val="en-US" w:eastAsia="ko-KR"/>
        </w:rPr>
        <w:t xml:space="preserve"> 17th – 21st, 2025</w:t>
      </w:r>
    </w:p>
    <w:p w14:paraId="06D73357" w14:textId="338FD810"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F66559">
        <w:rPr>
          <w:rFonts w:ascii="Arial" w:hAnsi="Arial" w:cs="Arial"/>
          <w:b/>
          <w:bCs/>
          <w:lang w:val="en-US"/>
        </w:rPr>
        <w:t>8.7.3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E58B2A4"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F66559" w:rsidRPr="00F66559">
        <w:rPr>
          <w:rFonts w:ascii="Arial" w:hAnsi="Arial" w:cs="Arial"/>
          <w:b/>
          <w:bCs/>
          <w:lang w:val="en-US"/>
        </w:rPr>
        <w:t>RAN2 impacts of measurement gap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79DAA4D2"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F35FF6">
        <w:rPr>
          <w:rFonts w:eastAsia="Malgun Gothic"/>
          <w:lang w:val="en-US" w:eastAsia="ko-KR"/>
        </w:rPr>
        <w:t xml:space="preserve">8 </w:t>
      </w:r>
      <w:r w:rsidR="005963E4">
        <w:rPr>
          <w:lang w:val="en-US"/>
        </w:rPr>
        <w:t>meeting, RAN2 made the following agreements:</w:t>
      </w:r>
    </w:p>
    <w:tbl>
      <w:tblPr>
        <w:tblStyle w:val="TableGrid"/>
        <w:tblW w:w="0" w:type="auto"/>
        <w:tblInd w:w="-5" w:type="dxa"/>
        <w:tblLook w:val="04A0" w:firstRow="1" w:lastRow="0" w:firstColumn="1" w:lastColumn="0" w:noHBand="0" w:noVBand="1"/>
      </w:tblPr>
      <w:tblGrid>
        <w:gridCol w:w="9540"/>
      </w:tblGrid>
      <w:tr w:rsidR="00F35FF6" w14:paraId="208AFF1D" w14:textId="77777777" w:rsidTr="00F35FF6">
        <w:tc>
          <w:tcPr>
            <w:tcW w:w="9540" w:type="dxa"/>
          </w:tcPr>
          <w:p w14:paraId="27E23198" w14:textId="77777777" w:rsidR="00F35FF6" w:rsidRDefault="00F35FF6" w:rsidP="0026174A">
            <w:pPr>
              <w:pStyle w:val="Doc-text2"/>
              <w:ind w:left="0" w:firstLine="0"/>
              <w:rPr>
                <w:b/>
                <w:bCs/>
              </w:rPr>
            </w:pPr>
            <w:r>
              <w:rPr>
                <w:b/>
                <w:bCs/>
              </w:rPr>
              <w:t>Agreements on RRM measurement gaps impacts</w:t>
            </w:r>
          </w:p>
          <w:p w14:paraId="2B955E40" w14:textId="77777777" w:rsidR="00F35FF6" w:rsidRPr="002647DB" w:rsidRDefault="00F35FF6" w:rsidP="00F35FF6">
            <w:pPr>
              <w:pStyle w:val="Doc-text2"/>
              <w:numPr>
                <w:ilvl w:val="0"/>
                <w:numId w:val="38"/>
              </w:numPr>
            </w:pPr>
            <w:r w:rsidRPr="002647DB">
              <w:t xml:space="preserve">No MG-specific enhancements </w:t>
            </w:r>
            <w:proofErr w:type="gramStart"/>
            <w:r w:rsidRPr="002647DB">
              <w:t>is</w:t>
            </w:r>
            <w:proofErr w:type="gramEnd"/>
            <w:r w:rsidRPr="002647DB">
              <w:t xml:space="preserve"> needed on DSR operation.</w:t>
            </w:r>
          </w:p>
          <w:p w14:paraId="1C4D8269" w14:textId="77777777" w:rsidR="00F35FF6" w:rsidRPr="002647DB" w:rsidRDefault="00F35FF6" w:rsidP="00F35FF6">
            <w:pPr>
              <w:pStyle w:val="Doc-text2"/>
              <w:numPr>
                <w:ilvl w:val="0"/>
                <w:numId w:val="38"/>
              </w:numPr>
            </w:pPr>
            <w:r w:rsidRPr="002647DB">
              <w:t xml:space="preserve">RAN2 assumes that UE follows DRX pattern as currently, even when MG is indicated as skipped </w:t>
            </w:r>
          </w:p>
          <w:p w14:paraId="6490C2B8" w14:textId="77777777" w:rsidR="00F35FF6" w:rsidRPr="002647DB" w:rsidRDefault="00F35FF6" w:rsidP="00F35FF6">
            <w:pPr>
              <w:pStyle w:val="Doc-text2"/>
              <w:numPr>
                <w:ilvl w:val="0"/>
                <w:numId w:val="38"/>
              </w:numPr>
              <w:rPr>
                <w:b/>
                <w:bCs/>
              </w:rPr>
            </w:pPr>
            <w:r w:rsidRPr="002647DB">
              <w:t xml:space="preserve">No MG-specific enhancements </w:t>
            </w:r>
            <w:proofErr w:type="gramStart"/>
            <w:r w:rsidRPr="002647DB">
              <w:t>is</w:t>
            </w:r>
            <w:proofErr w:type="gramEnd"/>
            <w:r w:rsidRPr="002647DB">
              <w:t xml:space="preserve"> needed for DRX operation.</w:t>
            </w:r>
          </w:p>
        </w:tc>
      </w:tr>
    </w:tbl>
    <w:p w14:paraId="49BB1A60" w14:textId="62F96E3C" w:rsidR="007B341B" w:rsidRDefault="005963E4" w:rsidP="00E64EF2">
      <w:pPr>
        <w:spacing w:before="240" w:line="240" w:lineRule="auto"/>
        <w:rPr>
          <w:bCs/>
          <w:szCs w:val="22"/>
        </w:rPr>
      </w:pPr>
      <w:r>
        <w:rPr>
          <w:bCs/>
          <w:szCs w:val="22"/>
        </w:rPr>
        <w:t xml:space="preserve">This document discusses </w:t>
      </w:r>
      <w:r w:rsidR="00355904">
        <w:rPr>
          <w:bCs/>
          <w:szCs w:val="22"/>
        </w:rPr>
        <w:t>remaining open issues on measurement gap enhancements.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08B0FFB0" w:rsidR="006A4AFB" w:rsidRDefault="00276990" w:rsidP="007E2591">
      <w:pPr>
        <w:pStyle w:val="Heading2"/>
      </w:pPr>
      <w:bookmarkStart w:id="2" w:name="_Hlk189571167"/>
      <w:r>
        <w:t xml:space="preserve">MAC </w:t>
      </w:r>
      <w:r w:rsidR="008D6614">
        <w:t xml:space="preserve">Specification </w:t>
      </w:r>
      <w:r>
        <w:t xml:space="preserve">Impact of DCI-based </w:t>
      </w:r>
      <w:r w:rsidR="00FF03F0">
        <w:t>S</w:t>
      </w:r>
      <w:r>
        <w:t>kip</w:t>
      </w:r>
      <w:bookmarkEnd w:id="2"/>
      <w:r w:rsidR="007629D8">
        <w:t>ping</w:t>
      </w:r>
    </w:p>
    <w:p w14:paraId="29173FB6" w14:textId="3064134A" w:rsidR="00276990" w:rsidRDefault="00C65D27" w:rsidP="00276990">
      <w:pPr>
        <w:spacing w:before="240" w:line="240" w:lineRule="auto"/>
      </w:pPr>
      <w:r>
        <w:t xml:space="preserve">DCI-based gap </w:t>
      </w:r>
      <w:r w:rsidR="003A6528">
        <w:t>skipping</w:t>
      </w:r>
      <w:r>
        <w:t xml:space="preserve"> was already agreed in RAN1. The only RAN2 issue</w:t>
      </w:r>
      <w:r w:rsidR="00276990">
        <w:t xml:space="preserve"> is how to capture the DCI-based gap indication. In other words, RAN2 needs to discuss whether and what RAN2 spec impacts are expected. TS 38.321 specifies the MAC behaviour during the activated measurement gap. The legacy measurement gap is configured by RRC. An assumption is that the MAC entity is aware of the time during which the measurement gap is activated. Thus, the MAC specification does not specify how the MAC entity is aware of it.</w:t>
      </w:r>
    </w:p>
    <w:p w14:paraId="7BF3FD09" w14:textId="77777777" w:rsidR="00276990" w:rsidRDefault="00276990" w:rsidP="00276990">
      <w:pPr>
        <w:spacing w:before="240" w:line="240" w:lineRule="auto"/>
      </w:pPr>
      <w:r>
        <w:t xml:space="preserve">For DCI indication, RRC </w:t>
      </w:r>
      <w:proofErr w:type="spellStart"/>
      <w:r>
        <w:t>signaling</w:t>
      </w:r>
      <w:proofErr w:type="spellEnd"/>
      <w:r>
        <w:t xml:space="preserve"> does not provide any information on the actual activated time of measurement gap. Thus, MAC entity needs to refer to somewhere in the specification. A simplest way is that the MAC specification specifies that MAC entity considers the corresponding first measurement gap offset after the DCI as not activated. Then, we can just reuse other existing texts without any change.</w:t>
      </w:r>
    </w:p>
    <w:p w14:paraId="5A3F2CE4" w14:textId="6E1A004E" w:rsidR="00276990" w:rsidRDefault="00276990" w:rsidP="00276990">
      <w:pPr>
        <w:pStyle w:val="Proposal"/>
      </w:pPr>
      <w:r>
        <w:t>TS 38.321 specifies: if the explicit indication by DCI to skip a particular gap, the MAC entity considers the corresponding first measurement gap as “not activated”.</w:t>
      </w:r>
    </w:p>
    <w:p w14:paraId="0D94D713" w14:textId="237B7215" w:rsidR="00F53056" w:rsidRDefault="00F53056" w:rsidP="00F53056">
      <w:pPr>
        <w:pStyle w:val="Heading2"/>
      </w:pPr>
      <w:r>
        <w:t xml:space="preserve">Semi-Static </w:t>
      </w:r>
      <w:r w:rsidR="007629D8">
        <w:t>Measurement Gap Skipping</w:t>
      </w:r>
    </w:p>
    <w:p w14:paraId="1E4664C7" w14:textId="2528FAC8" w:rsidR="00F53056" w:rsidRDefault="003C0E64" w:rsidP="003C0E64">
      <w:pPr>
        <w:spacing w:before="240" w:line="240" w:lineRule="auto"/>
      </w:pPr>
      <w:r>
        <w:t xml:space="preserve">Although RAN1 agreed only DCI-based skipping, RAN2 may need to discuss whether RRC-based semi-static skipping is necessary. </w:t>
      </w:r>
      <w:r w:rsidR="00206167">
        <w:t xml:space="preserve">RAN1 also considered semi-static skipping but concluded to support only DCI-based skipping. The main reason was that the decision on the gap skipping depends on UE’s instantaneous radio condition. In this scenario, semi-static skipping </w:t>
      </w:r>
      <w:r w:rsidR="000614D3">
        <w:t>may</w:t>
      </w:r>
      <w:r w:rsidR="00206167">
        <w:t xml:space="preserve"> not have a</w:t>
      </w:r>
      <w:r w:rsidR="00074EC3">
        <w:t xml:space="preserve"> great</w:t>
      </w:r>
      <w:r w:rsidR="00206167">
        <w:t xml:space="preserve"> value. </w:t>
      </w:r>
    </w:p>
    <w:p w14:paraId="58257EB3" w14:textId="29126270" w:rsidR="00206167" w:rsidRDefault="00206167" w:rsidP="003C0E64">
      <w:pPr>
        <w:spacing w:before="240" w:line="240" w:lineRule="auto"/>
      </w:pPr>
      <w:r>
        <w:t>One could argue that semi-static skipping may be helpful for the scenario that consecutive gap skipping is necessary. However, in this case, RRC configuration will be able to re-configure measurement gap. Hence, we do not see the necessity of semi-static measurement gap skipping.</w:t>
      </w:r>
    </w:p>
    <w:p w14:paraId="0677FEFD" w14:textId="0389B075" w:rsidR="003C0E64" w:rsidRDefault="003C0E64" w:rsidP="003C0E64">
      <w:pPr>
        <w:pStyle w:val="Proposal"/>
      </w:pPr>
      <w:r>
        <w:t>Semi-static measurement gap skipping is not supported.</w:t>
      </w:r>
    </w:p>
    <w:p w14:paraId="5CCF8C67" w14:textId="6306FDE0" w:rsidR="0082414F" w:rsidRDefault="0082414F" w:rsidP="0082414F">
      <w:pPr>
        <w:pStyle w:val="Heading2"/>
      </w:pPr>
      <w:r>
        <w:t>UAI on Measurement Occasion</w:t>
      </w:r>
    </w:p>
    <w:p w14:paraId="44AA12F3" w14:textId="5EE8E8B0" w:rsidR="00276990" w:rsidRDefault="00276990" w:rsidP="00276990">
      <w:pPr>
        <w:spacing w:before="240" w:line="240" w:lineRule="auto"/>
        <w:rPr>
          <w:lang w:val="en-US"/>
        </w:rPr>
      </w:pPr>
      <w:r>
        <w:t>In RAN1#117, RAN1 reached the conclusion on UE assistance information without consensus as follows:</w:t>
      </w:r>
    </w:p>
    <w:tbl>
      <w:tblPr>
        <w:tblStyle w:val="TableGrid"/>
        <w:tblW w:w="0" w:type="auto"/>
        <w:tblLook w:val="04A0" w:firstRow="1" w:lastRow="0" w:firstColumn="1" w:lastColumn="0" w:noHBand="0" w:noVBand="1"/>
      </w:tblPr>
      <w:tblGrid>
        <w:gridCol w:w="9629"/>
      </w:tblGrid>
      <w:tr w:rsidR="00276990" w14:paraId="6D962EA1" w14:textId="77777777" w:rsidTr="0026174A">
        <w:tc>
          <w:tcPr>
            <w:tcW w:w="9629" w:type="dxa"/>
          </w:tcPr>
          <w:p w14:paraId="4BA5D23D" w14:textId="77777777" w:rsidR="00276990" w:rsidRPr="006D364D" w:rsidRDefault="00276990" w:rsidP="0026174A">
            <w:pPr>
              <w:spacing w:before="240" w:after="0" w:line="240" w:lineRule="auto"/>
              <w:rPr>
                <w:rFonts w:ascii="Times" w:eastAsia="Batang" w:hAnsi="Times"/>
                <w:b/>
                <w:bCs/>
                <w:sz w:val="20"/>
                <w:lang w:eastAsia="en-US"/>
              </w:rPr>
            </w:pPr>
            <w:r w:rsidRPr="006D364D">
              <w:rPr>
                <w:rFonts w:ascii="Times" w:eastAsia="Batang" w:hAnsi="Times"/>
                <w:b/>
                <w:bCs/>
                <w:sz w:val="20"/>
                <w:lang w:eastAsia="en-US"/>
              </w:rPr>
              <w:lastRenderedPageBreak/>
              <w:t>Conclusion</w:t>
            </w:r>
          </w:p>
          <w:p w14:paraId="337F3F75" w14:textId="77777777" w:rsidR="00276990" w:rsidRPr="006D364D" w:rsidRDefault="00276990" w:rsidP="0026174A">
            <w:pPr>
              <w:spacing w:after="0" w:line="240" w:lineRule="auto"/>
              <w:rPr>
                <w:rFonts w:ascii="Times" w:eastAsia="Batang" w:hAnsi="Times"/>
                <w:color w:val="000000"/>
                <w:sz w:val="20"/>
                <w:lang w:eastAsia="en-US"/>
              </w:rPr>
            </w:pPr>
            <w:r w:rsidRPr="006D364D">
              <w:rPr>
                <w:rFonts w:ascii="Times" w:eastAsia="Batang" w:hAnsi="Times"/>
                <w:color w:val="000000"/>
                <w:sz w:val="20"/>
                <w:lang w:eastAsia="en-US"/>
              </w:rPr>
              <w:t>RAN1 does not further discuss new UE assistance information related to channel conditions, traffic, UE mobility.</w:t>
            </w:r>
          </w:p>
          <w:p w14:paraId="33B2486B" w14:textId="77777777" w:rsidR="00276990" w:rsidRPr="006D364D" w:rsidRDefault="00276990" w:rsidP="0026174A">
            <w:pPr>
              <w:spacing w:before="240" w:after="0" w:line="240" w:lineRule="auto"/>
              <w:rPr>
                <w:rFonts w:ascii="Times" w:eastAsia="Batang" w:hAnsi="Times"/>
                <w:b/>
                <w:bCs/>
                <w:sz w:val="20"/>
              </w:rPr>
            </w:pPr>
            <w:r w:rsidRPr="006D364D">
              <w:rPr>
                <w:rFonts w:ascii="Times" w:eastAsia="Batang" w:hAnsi="Times" w:hint="eastAsia"/>
                <w:b/>
                <w:bCs/>
                <w:sz w:val="20"/>
              </w:rPr>
              <w:t>C</w:t>
            </w:r>
            <w:r w:rsidRPr="006D364D">
              <w:rPr>
                <w:rFonts w:ascii="Times" w:eastAsia="Batang" w:hAnsi="Times"/>
                <w:b/>
                <w:bCs/>
                <w:sz w:val="20"/>
              </w:rPr>
              <w:t>onclusion</w:t>
            </w:r>
          </w:p>
          <w:p w14:paraId="5990ED56" w14:textId="77777777" w:rsidR="00276990" w:rsidRPr="00B7767A" w:rsidRDefault="00276990" w:rsidP="0026174A">
            <w:pPr>
              <w:spacing w:after="0" w:line="240" w:lineRule="auto"/>
              <w:rPr>
                <w:rFonts w:ascii="Times" w:eastAsia="Batang" w:hAnsi="Times"/>
                <w:sz w:val="20"/>
                <w:lang w:eastAsia="en-US"/>
              </w:rPr>
            </w:pPr>
            <w:r w:rsidRPr="006D364D">
              <w:rPr>
                <w:rFonts w:ascii="Times" w:eastAsia="Batang" w:hAnsi="Times"/>
                <w:sz w:val="20"/>
                <w:lang w:eastAsia="en-US"/>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27EDEC7D" w14:textId="77777777" w:rsidR="00276990" w:rsidRPr="006D364D" w:rsidRDefault="00276990" w:rsidP="0026174A">
            <w:pPr>
              <w:spacing w:after="0" w:line="240" w:lineRule="auto"/>
            </w:pPr>
          </w:p>
        </w:tc>
      </w:tr>
    </w:tbl>
    <w:p w14:paraId="3587D1AC" w14:textId="63FC54DD" w:rsidR="00276990" w:rsidRDefault="00276990" w:rsidP="00276990">
      <w:pPr>
        <w:spacing w:before="240" w:line="240" w:lineRule="auto"/>
      </w:pPr>
      <w:r>
        <w:rPr>
          <w:lang w:val="en-US"/>
        </w:rPr>
        <w:t xml:space="preserve">Instead, RAN1 sent an LS to RAN4 (R1-2405736) to ask both feasibility and usefulness of the UAI on measurement occasion. Triggered by the LS, RAN4 had the relevant discussions </w:t>
      </w:r>
      <w:r w:rsidR="00DB5437">
        <w:rPr>
          <w:lang w:val="en-US"/>
        </w:rPr>
        <w:t>last year</w:t>
      </w:r>
      <w:r>
        <w:rPr>
          <w:lang w:val="en-US"/>
        </w:rPr>
        <w:t xml:space="preserve"> but they </w:t>
      </w:r>
      <w:r w:rsidR="009A3A3B">
        <w:rPr>
          <w:lang w:val="en-US"/>
        </w:rPr>
        <w:t>have not reached</w:t>
      </w:r>
      <w:r>
        <w:rPr>
          <w:lang w:val="en-US"/>
        </w:rPr>
        <w:t xml:space="preserve"> the conclusion yet. In this situation, </w:t>
      </w:r>
      <w:proofErr w:type="gramStart"/>
      <w:r>
        <w:rPr>
          <w:lang w:val="en-US"/>
        </w:rPr>
        <w:t>RAN2</w:t>
      </w:r>
      <w:proofErr w:type="gramEnd"/>
      <w:r>
        <w:rPr>
          <w:lang w:val="en-US"/>
        </w:rPr>
        <w:t xml:space="preserve"> discussion on UAI may be too early. We see that RAN2 starts the discussion on UAI after RAN4 reaches </w:t>
      </w:r>
      <w:r w:rsidR="00AC3FCE">
        <w:rPr>
          <w:lang w:val="en-US"/>
        </w:rPr>
        <w:t>the conclusion</w:t>
      </w:r>
      <w:r>
        <w:rPr>
          <w:lang w:val="en-US"/>
        </w:rPr>
        <w:t xml:space="preserve"> that it is at least feasible.</w:t>
      </w:r>
      <w:r>
        <w:t xml:space="preserve"> </w:t>
      </w:r>
    </w:p>
    <w:p w14:paraId="5ECE3D6C" w14:textId="56662399" w:rsidR="00276990" w:rsidRDefault="00276990" w:rsidP="007C15ED">
      <w:pPr>
        <w:pStyle w:val="Proposal"/>
      </w:pPr>
      <w:r>
        <w:t>RAN2 discusses UAI on measurement occasion after RAN4 reaches a conclusion.</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0DCB3E86" w:rsidR="00AD22EA" w:rsidRDefault="00CD0333" w:rsidP="00F04B07">
      <w:pPr>
        <w:spacing w:afterLines="50" w:line="240" w:lineRule="auto"/>
        <w:jc w:val="left"/>
        <w:rPr>
          <w:rFonts w:eastAsia="Malgun Gothic"/>
          <w:lang w:eastAsia="ko-KR"/>
        </w:rPr>
      </w:pPr>
      <w:r>
        <w:rPr>
          <w:rFonts w:eastAsia="Malgun Gothic" w:hint="eastAsia"/>
          <w:lang w:eastAsia="ko-KR"/>
        </w:rPr>
        <w:t>RAN2 is requested to discuss and agree the following proposals:</w:t>
      </w:r>
    </w:p>
    <w:p w14:paraId="35366035" w14:textId="77777777" w:rsidR="00471094" w:rsidRDefault="00471094" w:rsidP="00864F88">
      <w:pPr>
        <w:pStyle w:val="Proposal"/>
        <w:numPr>
          <w:ilvl w:val="0"/>
          <w:numId w:val="40"/>
        </w:numPr>
      </w:pPr>
      <w:bookmarkStart w:id="3" w:name="_Hlk189590558"/>
      <w:r>
        <w:t>TS 38.321 specifies: if the explicit indication by DCI to skip a particular gap, the MAC entity considers the corresponding first measurement gap as “not activated”.</w:t>
      </w:r>
    </w:p>
    <w:p w14:paraId="7B2BCACC" w14:textId="77777777" w:rsidR="00471094" w:rsidRDefault="00471094" w:rsidP="00292005">
      <w:pPr>
        <w:pStyle w:val="Proposal"/>
        <w:numPr>
          <w:ilvl w:val="0"/>
          <w:numId w:val="40"/>
        </w:numPr>
      </w:pPr>
      <w:r>
        <w:t>Semi-static measurement gap skipping is not supported.</w:t>
      </w:r>
    </w:p>
    <w:p w14:paraId="67720A67" w14:textId="77777777" w:rsidR="00471094" w:rsidRDefault="00471094" w:rsidP="00292005">
      <w:pPr>
        <w:pStyle w:val="Proposal"/>
        <w:numPr>
          <w:ilvl w:val="0"/>
          <w:numId w:val="40"/>
        </w:numPr>
      </w:pPr>
      <w:r>
        <w:t>RAN2 discusses UAI on measurement occasion after RAN4 reaches a conclusion.</w:t>
      </w:r>
    </w:p>
    <w:bookmarkEnd w:id="3"/>
    <w:p w14:paraId="54B2B90D" w14:textId="77777777" w:rsidR="00471094" w:rsidRDefault="00471094" w:rsidP="00471094">
      <w:pPr>
        <w:pStyle w:val="Proposal"/>
        <w:numPr>
          <w:ilvl w:val="0"/>
          <w:numId w:val="0"/>
        </w:numPr>
        <w:ind w:left="1304" w:hanging="1304"/>
      </w:pPr>
    </w:p>
    <w:p w14:paraId="4CC4CE97" w14:textId="77777777" w:rsidR="00471094" w:rsidRPr="00CD0333" w:rsidRDefault="00471094" w:rsidP="00F04B07">
      <w:pPr>
        <w:spacing w:afterLines="50" w:line="240" w:lineRule="auto"/>
        <w:jc w:val="left"/>
        <w:rPr>
          <w:rFonts w:eastAsia="Malgun Gothic"/>
          <w:lang w:eastAsia="ko-KR"/>
        </w:rPr>
      </w:pP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22580" w14:textId="77777777" w:rsidR="00463C54" w:rsidRDefault="00463C54">
      <w:pPr>
        <w:spacing w:after="0" w:line="240" w:lineRule="auto"/>
      </w:pPr>
      <w:r>
        <w:separator/>
      </w:r>
    </w:p>
  </w:endnote>
  <w:endnote w:type="continuationSeparator" w:id="0">
    <w:p w14:paraId="5578DCB1" w14:textId="77777777" w:rsidR="00463C54" w:rsidRDefault="00463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00A89" w14:textId="77777777" w:rsidR="00463C54" w:rsidRDefault="00463C54">
      <w:pPr>
        <w:spacing w:after="0" w:line="240" w:lineRule="auto"/>
      </w:pPr>
      <w:r>
        <w:separator/>
      </w:r>
    </w:p>
  </w:footnote>
  <w:footnote w:type="continuationSeparator" w:id="0">
    <w:p w14:paraId="624B22F3" w14:textId="77777777" w:rsidR="00463C54" w:rsidRDefault="00463C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1"/>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3"/>
  </w:num>
  <w:num w:numId="19" w16cid:durableId="1213736766">
    <w:abstractNumId w:val="20"/>
  </w:num>
  <w:num w:numId="20" w16cid:durableId="1125275007">
    <w:abstractNumId w:val="13"/>
  </w:num>
  <w:num w:numId="21" w16cid:durableId="2040547397">
    <w:abstractNumId w:val="34"/>
  </w:num>
  <w:num w:numId="22" w16cid:durableId="529881585">
    <w:abstractNumId w:val="25"/>
  </w:num>
  <w:num w:numId="23" w16cid:durableId="177432559">
    <w:abstractNumId w:val="5"/>
  </w:num>
  <w:num w:numId="24" w16cid:durableId="480658074">
    <w:abstractNumId w:val="12"/>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1633442164">
    <w:abstractNumId w:val="10"/>
  </w:num>
  <w:num w:numId="39" w16cid:durableId="1381317403">
    <w:abstractNumId w:val="18"/>
  </w:num>
  <w:num w:numId="40" w16cid:durableId="405690577">
    <w:abstractNumId w:val="18"/>
    <w:lvlOverride w:ilvl="0">
      <w:startOverride w:val="1"/>
    </w:lvlOverride>
  </w:num>
  <w:num w:numId="41" w16cid:durableId="50648376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119"/>
    <w:rsid w:val="00057CF4"/>
    <w:rsid w:val="000614D3"/>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4EC3"/>
    <w:rsid w:val="00075123"/>
    <w:rsid w:val="00075C18"/>
    <w:rsid w:val="00075EB2"/>
    <w:rsid w:val="000761EB"/>
    <w:rsid w:val="00076D3C"/>
    <w:rsid w:val="00076EAD"/>
    <w:rsid w:val="00076EC4"/>
    <w:rsid w:val="00080366"/>
    <w:rsid w:val="00080A9A"/>
    <w:rsid w:val="00081A9A"/>
    <w:rsid w:val="000826F0"/>
    <w:rsid w:val="00082C74"/>
    <w:rsid w:val="00083C4D"/>
    <w:rsid w:val="00084367"/>
    <w:rsid w:val="00085787"/>
    <w:rsid w:val="0008674F"/>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792"/>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27C"/>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16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5C68"/>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990"/>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005"/>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BE9"/>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17171"/>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1AF"/>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5904"/>
    <w:rsid w:val="00357F18"/>
    <w:rsid w:val="003616BA"/>
    <w:rsid w:val="0036192C"/>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465"/>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528"/>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0E64"/>
    <w:rsid w:val="003C1FD3"/>
    <w:rsid w:val="003C2328"/>
    <w:rsid w:val="003C25A0"/>
    <w:rsid w:val="003C3015"/>
    <w:rsid w:val="003C3EE6"/>
    <w:rsid w:val="003C3F5E"/>
    <w:rsid w:val="003C45B9"/>
    <w:rsid w:val="003C4D8C"/>
    <w:rsid w:val="003C5027"/>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064"/>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50FF"/>
    <w:rsid w:val="00457F24"/>
    <w:rsid w:val="0046056B"/>
    <w:rsid w:val="004612FF"/>
    <w:rsid w:val="004617C3"/>
    <w:rsid w:val="00461DC9"/>
    <w:rsid w:val="0046227B"/>
    <w:rsid w:val="00462775"/>
    <w:rsid w:val="0046323B"/>
    <w:rsid w:val="00463C46"/>
    <w:rsid w:val="00463C54"/>
    <w:rsid w:val="00464938"/>
    <w:rsid w:val="0046506F"/>
    <w:rsid w:val="00465F59"/>
    <w:rsid w:val="004661C2"/>
    <w:rsid w:val="00466615"/>
    <w:rsid w:val="00466681"/>
    <w:rsid w:val="00466F44"/>
    <w:rsid w:val="00467C9D"/>
    <w:rsid w:val="00467DC5"/>
    <w:rsid w:val="00470640"/>
    <w:rsid w:val="00471094"/>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87F38"/>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5722"/>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99A"/>
    <w:rsid w:val="006C2B53"/>
    <w:rsid w:val="006C4033"/>
    <w:rsid w:val="006C4CE9"/>
    <w:rsid w:val="006C5C38"/>
    <w:rsid w:val="006C643D"/>
    <w:rsid w:val="006C7434"/>
    <w:rsid w:val="006C7ACE"/>
    <w:rsid w:val="006D1042"/>
    <w:rsid w:val="006D1B1B"/>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163"/>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F72"/>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D8"/>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4E4F"/>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5ED"/>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199"/>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14F"/>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4F88"/>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09"/>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D6614"/>
    <w:rsid w:val="008E03C1"/>
    <w:rsid w:val="008E0834"/>
    <w:rsid w:val="008E098A"/>
    <w:rsid w:val="008E1CE0"/>
    <w:rsid w:val="008E20F8"/>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2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3A3B"/>
    <w:rsid w:val="009A43B6"/>
    <w:rsid w:val="009A495A"/>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253E"/>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3FCE"/>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6F71"/>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5D27"/>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87"/>
    <w:rsid w:val="00CA2AD8"/>
    <w:rsid w:val="00CA2BC9"/>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035"/>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437"/>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0BB"/>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4EF2"/>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5FF6"/>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3056"/>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559"/>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3F0"/>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322</cp:revision>
  <cp:lastPrinted>2018-04-04T09:40:00Z</cp:lastPrinted>
  <dcterms:created xsi:type="dcterms:W3CDTF">2024-05-09T11:23:00Z</dcterms:created>
  <dcterms:modified xsi:type="dcterms:W3CDTF">2025-02-07T05:01:00Z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